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C387B" w14:textId="77777777" w:rsidR="003B7CF8" w:rsidRDefault="003B7CF8" w:rsidP="007B34F4">
      <w:pPr>
        <w:autoSpaceDE w:val="0"/>
        <w:autoSpaceDN w:val="0"/>
        <w:adjustRightInd w:val="0"/>
        <w:rPr>
          <w:sz w:val="22"/>
          <w:szCs w:val="28"/>
        </w:rPr>
      </w:pPr>
    </w:p>
    <w:p w14:paraId="4D63B07C" w14:textId="77777777" w:rsidR="009E0352" w:rsidRPr="003B7CF8" w:rsidRDefault="009E0352" w:rsidP="007B34F4">
      <w:pPr>
        <w:autoSpaceDE w:val="0"/>
        <w:autoSpaceDN w:val="0"/>
        <w:adjustRightInd w:val="0"/>
        <w:rPr>
          <w:sz w:val="22"/>
          <w:szCs w:val="28"/>
        </w:rPr>
      </w:pPr>
    </w:p>
    <w:p w14:paraId="623FB9B2" w14:textId="77777777" w:rsidR="00523C92" w:rsidRPr="003B7CF8" w:rsidRDefault="00196B54" w:rsidP="003B7CF8">
      <w:pPr>
        <w:autoSpaceDE w:val="0"/>
        <w:autoSpaceDN w:val="0"/>
        <w:adjustRightInd w:val="0"/>
        <w:spacing w:after="240"/>
        <w:rPr>
          <w:rFonts w:ascii="Courier New" w:hAnsi="Courier New"/>
          <w:sz w:val="28"/>
          <w:szCs w:val="28"/>
        </w:rPr>
      </w:pPr>
      <w:r w:rsidRPr="00196B54">
        <w:rPr>
          <w:b/>
          <w:sz w:val="28"/>
          <w:szCs w:val="28"/>
        </w:rPr>
        <w:t>LECZENIE</w:t>
      </w:r>
      <w:r w:rsidR="008B39E7">
        <w:rPr>
          <w:b/>
          <w:sz w:val="28"/>
          <w:szCs w:val="28"/>
        </w:rPr>
        <w:t xml:space="preserve"> </w:t>
      </w:r>
      <w:r w:rsidR="008B39E7" w:rsidRPr="008B39E7">
        <w:rPr>
          <w:b/>
          <w:sz w:val="28"/>
          <w:szCs w:val="28"/>
        </w:rPr>
        <w:t>CHORYCH NA RAKA PŁUCA (ICD-10: C34)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3"/>
        <w:gridCol w:w="4773"/>
        <w:gridCol w:w="5352"/>
      </w:tblGrid>
      <w:tr w:rsidR="00565830" w:rsidRPr="00966F29" w14:paraId="11B17F5A" w14:textId="77777777" w:rsidTr="0097297F">
        <w:trPr>
          <w:trHeight w:val="567"/>
        </w:trPr>
        <w:tc>
          <w:tcPr>
            <w:tcW w:w="5000" w:type="pct"/>
            <w:gridSpan w:val="3"/>
            <w:vAlign w:val="center"/>
          </w:tcPr>
          <w:p w14:paraId="41C3DAE6" w14:textId="77777777" w:rsidR="00565830" w:rsidRPr="009E0352" w:rsidRDefault="00565830" w:rsidP="009E0352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ZAKRES ŚWIADCZENIA GWARANTOWANEGO</w:t>
            </w:r>
          </w:p>
        </w:tc>
      </w:tr>
      <w:tr w:rsidR="00565830" w:rsidRPr="00966F29" w14:paraId="2F50C93B" w14:textId="77777777" w:rsidTr="0097297F">
        <w:trPr>
          <w:trHeight w:val="567"/>
        </w:trPr>
        <w:tc>
          <w:tcPr>
            <w:tcW w:w="1710" w:type="pct"/>
            <w:vAlign w:val="center"/>
          </w:tcPr>
          <w:p w14:paraId="616F5258" w14:textId="77777777" w:rsidR="00565830" w:rsidRPr="009E0352" w:rsidRDefault="00565830" w:rsidP="009E0352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551" w:type="pct"/>
            <w:vAlign w:val="center"/>
          </w:tcPr>
          <w:p w14:paraId="06B6F215" w14:textId="77777777" w:rsidR="00565830" w:rsidRPr="009E0352" w:rsidRDefault="00565830" w:rsidP="009E0352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SCHEMAT DAWKOWANIA LEKÓW W PROGRAMIE</w:t>
            </w:r>
          </w:p>
        </w:tc>
        <w:tc>
          <w:tcPr>
            <w:tcW w:w="1739" w:type="pct"/>
            <w:vAlign w:val="center"/>
          </w:tcPr>
          <w:p w14:paraId="3371C9A0" w14:textId="77777777" w:rsidR="00565830" w:rsidRPr="009E0352" w:rsidRDefault="00565830" w:rsidP="009E0352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BADANIA DIAGNOSTYCZNE WYKONYWANE W RAMACH PROGRAMU</w:t>
            </w:r>
          </w:p>
        </w:tc>
      </w:tr>
      <w:tr w:rsidR="00565830" w:rsidRPr="001349B5" w14:paraId="5B7B18BF" w14:textId="77777777" w:rsidTr="0097297F">
        <w:tc>
          <w:tcPr>
            <w:tcW w:w="1710" w:type="pct"/>
          </w:tcPr>
          <w:p w14:paraId="4944A88F" w14:textId="03505168" w:rsidR="00102E4E" w:rsidRPr="009E0352" w:rsidRDefault="00066DBB" w:rsidP="009E0352">
            <w:pPr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W ramach programu finansuje się leczenie pierwszej lub </w:t>
            </w:r>
            <w:r w:rsidR="006E033F" w:rsidRPr="009E0352">
              <w:rPr>
                <w:sz w:val="20"/>
                <w:szCs w:val="20"/>
              </w:rPr>
              <w:t>drugiej</w:t>
            </w:r>
            <w:r w:rsidRPr="009E0352">
              <w:rPr>
                <w:sz w:val="20"/>
                <w:szCs w:val="20"/>
              </w:rPr>
              <w:t xml:space="preserve"> linii</w:t>
            </w:r>
            <w:r w:rsidR="00102E4E" w:rsidRPr="009E0352">
              <w:rPr>
                <w:sz w:val="20"/>
                <w:szCs w:val="20"/>
              </w:rPr>
              <w:t xml:space="preserve"> zaawansowanego</w:t>
            </w:r>
            <w:r w:rsidRPr="009E0352">
              <w:rPr>
                <w:sz w:val="20"/>
                <w:szCs w:val="20"/>
              </w:rPr>
              <w:t xml:space="preserve"> niedrobnokomórkowego raka płuca z</w:t>
            </w:r>
            <w:r w:rsidR="00102E4E" w:rsidRPr="009E0352">
              <w:rPr>
                <w:sz w:val="20"/>
                <w:szCs w:val="20"/>
              </w:rPr>
              <w:t>e stwierdzoną</w:t>
            </w:r>
            <w:r w:rsidRPr="009E0352">
              <w:rPr>
                <w:sz w:val="20"/>
                <w:szCs w:val="20"/>
              </w:rPr>
              <w:t xml:space="preserve"> </w:t>
            </w:r>
            <w:proofErr w:type="spellStart"/>
            <w:r w:rsidRPr="009E0352">
              <w:rPr>
                <w:sz w:val="20"/>
                <w:szCs w:val="20"/>
              </w:rPr>
              <w:t>rearanżacją</w:t>
            </w:r>
            <w:proofErr w:type="spellEnd"/>
            <w:r w:rsidRPr="009E0352">
              <w:rPr>
                <w:sz w:val="20"/>
                <w:szCs w:val="20"/>
              </w:rPr>
              <w:t xml:space="preserve"> genu ROS1 </w:t>
            </w:r>
          </w:p>
          <w:p w14:paraId="6A0364C4" w14:textId="77777777" w:rsidR="00066DBB" w:rsidRPr="009E0352" w:rsidRDefault="00102E4E" w:rsidP="009E0352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- </w:t>
            </w:r>
            <w:proofErr w:type="spellStart"/>
            <w:r w:rsidR="00066DBB" w:rsidRPr="009E0352">
              <w:rPr>
                <w:sz w:val="20"/>
                <w:szCs w:val="20"/>
              </w:rPr>
              <w:t>repotre</w:t>
            </w:r>
            <w:r w:rsidR="008113FA" w:rsidRPr="009E0352">
              <w:rPr>
                <w:sz w:val="20"/>
                <w:szCs w:val="20"/>
              </w:rPr>
              <w:t>k</w:t>
            </w:r>
            <w:r w:rsidR="00066DBB" w:rsidRPr="009E0352">
              <w:rPr>
                <w:sz w:val="20"/>
                <w:szCs w:val="20"/>
              </w:rPr>
              <w:t>t</w:t>
            </w:r>
            <w:r w:rsidR="008113FA" w:rsidRPr="009E0352">
              <w:rPr>
                <w:sz w:val="20"/>
                <w:szCs w:val="20"/>
              </w:rPr>
              <w:t>y</w:t>
            </w:r>
            <w:r w:rsidR="00066DBB" w:rsidRPr="009E0352">
              <w:rPr>
                <w:sz w:val="20"/>
                <w:szCs w:val="20"/>
              </w:rPr>
              <w:t>nibem</w:t>
            </w:r>
            <w:proofErr w:type="spellEnd"/>
            <w:r w:rsidR="00066DBB" w:rsidRPr="009E0352">
              <w:rPr>
                <w:sz w:val="20"/>
                <w:szCs w:val="20"/>
              </w:rPr>
              <w:t xml:space="preserve"> w </w:t>
            </w:r>
            <w:proofErr w:type="spellStart"/>
            <w:r w:rsidR="00066DBB" w:rsidRPr="009E0352">
              <w:rPr>
                <w:sz w:val="20"/>
                <w:szCs w:val="20"/>
              </w:rPr>
              <w:t>monoterapii</w:t>
            </w:r>
            <w:proofErr w:type="spellEnd"/>
            <w:r w:rsidR="00066DBB" w:rsidRPr="009E0352">
              <w:rPr>
                <w:sz w:val="20"/>
                <w:szCs w:val="20"/>
              </w:rPr>
              <w:t>.</w:t>
            </w:r>
          </w:p>
          <w:p w14:paraId="1F3DA5D9" w14:textId="77777777" w:rsidR="00066DBB" w:rsidRPr="009E0352" w:rsidRDefault="00066DBB" w:rsidP="009E0352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1B1025DD" w14:textId="77777777" w:rsidR="00565830" w:rsidRPr="009E0352" w:rsidRDefault="00565830" w:rsidP="009E035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Kryteria kwalifikacji</w:t>
            </w:r>
          </w:p>
          <w:p w14:paraId="55895352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rozpoznanie histologiczne lub cytologiczne typu NDRP: raka gruczołowego lub raka wielkokomórkowego lub raka niedrobnokomórkowego z przewagą raka gruczołowego lub z przewagą raka wielkokomórkowego lub NOS;</w:t>
            </w:r>
          </w:p>
          <w:p w14:paraId="104E47EF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stopień zaawansowania klinicznego IV (stadium uogólnienia) lub III z brakiem możliwości przeprowadzenie leczenia radykalnego (</w:t>
            </w:r>
            <w:proofErr w:type="spellStart"/>
            <w:r w:rsidRPr="009E0352">
              <w:rPr>
                <w:sz w:val="20"/>
                <w:szCs w:val="20"/>
              </w:rPr>
              <w:t>radiochemioterapia</w:t>
            </w:r>
            <w:proofErr w:type="spellEnd"/>
            <w:r w:rsidRPr="009E0352">
              <w:rPr>
                <w:sz w:val="20"/>
                <w:szCs w:val="20"/>
              </w:rPr>
              <w:t>, radioterapia, chirurgia);</w:t>
            </w:r>
          </w:p>
          <w:p w14:paraId="262A58D1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potwierdzenie obecności </w:t>
            </w:r>
            <w:proofErr w:type="spellStart"/>
            <w:r w:rsidRPr="009E0352">
              <w:rPr>
                <w:sz w:val="20"/>
                <w:szCs w:val="20"/>
              </w:rPr>
              <w:t>rearanżacji</w:t>
            </w:r>
            <w:proofErr w:type="spellEnd"/>
            <w:r w:rsidRPr="009E0352">
              <w:rPr>
                <w:sz w:val="20"/>
                <w:szCs w:val="20"/>
              </w:rPr>
              <w:t xml:space="preserve"> w genie ROS1;</w:t>
            </w:r>
          </w:p>
          <w:p w14:paraId="419E1E38" w14:textId="77777777" w:rsidR="00066DBB" w:rsidRPr="009E0352" w:rsidRDefault="00066DBB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wymagania co do wcześniejszej terapii:</w:t>
            </w:r>
          </w:p>
          <w:p w14:paraId="69FA3171" w14:textId="77777777" w:rsidR="00066DBB" w:rsidRPr="009E0352" w:rsidRDefault="00066DBB" w:rsidP="009E0352">
            <w:pPr>
              <w:pStyle w:val="Akapitzlist"/>
              <w:numPr>
                <w:ilvl w:val="4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chorzy dotychczas nieleczeni z powodu choroby zaawansowanej lub przerzutowej - leczenie pierwszej linii,</w:t>
            </w:r>
          </w:p>
          <w:p w14:paraId="3E47B9DB" w14:textId="77777777" w:rsidR="00066DBB" w:rsidRPr="009E0352" w:rsidRDefault="00066DBB" w:rsidP="009E0352">
            <w:pPr>
              <w:pStyle w:val="Akapitzlist"/>
              <w:numPr>
                <w:ilvl w:val="4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chorzy z niepowodzeniem terapii </w:t>
            </w:r>
            <w:proofErr w:type="spellStart"/>
            <w:r w:rsidRPr="009E0352">
              <w:rPr>
                <w:sz w:val="20"/>
                <w:szCs w:val="20"/>
              </w:rPr>
              <w:t>entrektynibem</w:t>
            </w:r>
            <w:proofErr w:type="spellEnd"/>
            <w:r w:rsidRPr="009E0352">
              <w:rPr>
                <w:sz w:val="20"/>
                <w:szCs w:val="20"/>
              </w:rPr>
              <w:t xml:space="preserve"> lub </w:t>
            </w:r>
            <w:proofErr w:type="spellStart"/>
            <w:r w:rsidRPr="009E0352">
              <w:rPr>
                <w:sz w:val="20"/>
                <w:szCs w:val="20"/>
              </w:rPr>
              <w:t>kryzotynibem</w:t>
            </w:r>
            <w:proofErr w:type="spellEnd"/>
            <w:r w:rsidR="00F019EA" w:rsidRPr="009E0352">
              <w:rPr>
                <w:sz w:val="20"/>
                <w:szCs w:val="20"/>
              </w:rPr>
              <w:t xml:space="preserve"> – leczenie drugiej lub kolejnej linii</w:t>
            </w:r>
            <w:r w:rsidRPr="009E0352">
              <w:rPr>
                <w:sz w:val="20"/>
                <w:szCs w:val="20"/>
              </w:rPr>
              <w:t>;</w:t>
            </w:r>
          </w:p>
          <w:p w14:paraId="60B1DF6C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lastRenderedPageBreak/>
              <w:t>obecność zmian umożliwiających przeprowadzenie obiektywnej oceny odpowiedzi w badaniach obrazowych z zastosowaniem kryteriów oceny aktualnie obowiązującego systemu RECIST;</w:t>
            </w:r>
          </w:p>
          <w:p w14:paraId="22D51C69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nieobecność objawowych przerzutów w ośrodkowym układzie nerwowym lub cech progresji przerzutów w ośrodkowym układzie nerwowym u chorych po wcześniejszym leczeniu miejscowym (chirurgia, radioterapia);</w:t>
            </w:r>
          </w:p>
          <w:p w14:paraId="64AFAA61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wiek powyżej 18. roku życia;</w:t>
            </w:r>
          </w:p>
          <w:p w14:paraId="42283AF5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sprawność w stopniu 0-</w:t>
            </w:r>
            <w:r w:rsidR="00066DBB" w:rsidRPr="009E0352">
              <w:rPr>
                <w:sz w:val="20"/>
                <w:szCs w:val="20"/>
              </w:rPr>
              <w:t>1</w:t>
            </w:r>
            <w:r w:rsidRPr="009E0352">
              <w:rPr>
                <w:sz w:val="20"/>
                <w:szCs w:val="20"/>
              </w:rPr>
              <w:t xml:space="preserve"> według kryteriów WHO lub ECOG</w:t>
            </w:r>
            <w:r w:rsidR="00066DBB" w:rsidRPr="009E0352">
              <w:rPr>
                <w:sz w:val="20"/>
                <w:szCs w:val="20"/>
              </w:rPr>
              <w:t>;</w:t>
            </w:r>
          </w:p>
          <w:p w14:paraId="1C6A9C2D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40F635A7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 nieobecność aktywnych chorób autoimmunologicznych z wyłączeniem cukrzycy typu 1, niedoczynności tarczycy, łuszczycy i bielactwa;</w:t>
            </w:r>
          </w:p>
          <w:p w14:paraId="40751033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 czynność układu krwiotwórczego umożliwiająca leczenie zgodnie z aktualną </w:t>
            </w:r>
            <w:proofErr w:type="spellStart"/>
            <w:r w:rsidRPr="009E0352">
              <w:rPr>
                <w:sz w:val="20"/>
                <w:szCs w:val="20"/>
              </w:rPr>
              <w:t>ChPL</w:t>
            </w:r>
            <w:proofErr w:type="spellEnd"/>
            <w:r w:rsidRPr="009E0352">
              <w:rPr>
                <w:sz w:val="20"/>
                <w:szCs w:val="20"/>
              </w:rPr>
              <w:t>;</w:t>
            </w:r>
          </w:p>
          <w:p w14:paraId="65FB47C5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9E0352">
              <w:rPr>
                <w:sz w:val="20"/>
                <w:szCs w:val="20"/>
              </w:rPr>
              <w:t>ChPL</w:t>
            </w:r>
            <w:proofErr w:type="spellEnd"/>
            <w:r w:rsidRPr="009E0352">
              <w:rPr>
                <w:sz w:val="20"/>
                <w:szCs w:val="20"/>
              </w:rPr>
              <w:t>;</w:t>
            </w:r>
          </w:p>
          <w:p w14:paraId="73FD4933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nieobecność przeciwwskazań do stosowania </w:t>
            </w:r>
            <w:proofErr w:type="spellStart"/>
            <w:r w:rsidR="00066DBB" w:rsidRPr="009E0352">
              <w:rPr>
                <w:sz w:val="20"/>
                <w:szCs w:val="20"/>
              </w:rPr>
              <w:t>repotrectinibu</w:t>
            </w:r>
            <w:proofErr w:type="spellEnd"/>
            <w:r w:rsidR="00066DBB" w:rsidRPr="009E0352">
              <w:rPr>
                <w:sz w:val="20"/>
                <w:szCs w:val="20"/>
              </w:rPr>
              <w:t xml:space="preserve"> </w:t>
            </w:r>
            <w:r w:rsidRPr="009E0352">
              <w:rPr>
                <w:sz w:val="20"/>
                <w:szCs w:val="20"/>
              </w:rPr>
              <w:t xml:space="preserve">określonych w </w:t>
            </w:r>
            <w:proofErr w:type="spellStart"/>
            <w:r w:rsidRPr="009E0352">
              <w:rPr>
                <w:sz w:val="20"/>
                <w:szCs w:val="20"/>
              </w:rPr>
              <w:t>ChPL</w:t>
            </w:r>
            <w:proofErr w:type="spellEnd"/>
            <w:r w:rsidRPr="009E0352">
              <w:rPr>
                <w:sz w:val="20"/>
                <w:szCs w:val="20"/>
              </w:rPr>
              <w:t>;</w:t>
            </w:r>
          </w:p>
          <w:p w14:paraId="56EE144D" w14:textId="77777777" w:rsidR="00732653" w:rsidRPr="009E0352" w:rsidRDefault="00732653" w:rsidP="009E0352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wykluczenie współwystępowania innych nowotworów złośliwych wymagających aktywnego leczenia lun niekontrolowanych stosowanym leczeniem.</w:t>
            </w:r>
          </w:p>
          <w:p w14:paraId="068DA1AC" w14:textId="77777777" w:rsidR="00E703FE" w:rsidRPr="009E0352" w:rsidRDefault="00E703FE" w:rsidP="009E03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E0352">
              <w:rPr>
                <w:bCs/>
                <w:color w:val="000000" w:themeColor="text1"/>
                <w:sz w:val="20"/>
                <w:szCs w:val="20"/>
              </w:rPr>
              <w:t>Powyższe kryteria kwalifikacji muszą być spełnione łącznie.</w:t>
            </w:r>
          </w:p>
          <w:p w14:paraId="027FF2D8" w14:textId="77777777" w:rsidR="00E703FE" w:rsidRPr="009E0352" w:rsidRDefault="00E703FE" w:rsidP="009E03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Ponadto do programu lekowego kwalifikowani są również pacjenci wymagający kontynuacji leczenia, leczeni dotychczas </w:t>
            </w:r>
            <w:proofErr w:type="spellStart"/>
            <w:r w:rsidRPr="009E0352">
              <w:rPr>
                <w:sz w:val="20"/>
                <w:szCs w:val="20"/>
              </w:rPr>
              <w:t>sepiapteryną</w:t>
            </w:r>
            <w:proofErr w:type="spellEnd"/>
            <w:r w:rsidRPr="009E0352">
              <w:rPr>
                <w:sz w:val="20"/>
                <w:szCs w:val="20"/>
              </w:rPr>
              <w:t xml:space="preserve"> w ramach innego sposobu finansowania terapii, z </w:t>
            </w:r>
            <w:r w:rsidRPr="009E0352">
              <w:rPr>
                <w:sz w:val="20"/>
                <w:szCs w:val="20"/>
              </w:rPr>
              <w:lastRenderedPageBreak/>
              <w:t>wyjątkiem trwających badań klinicznych tych leków, pod warunkiem, że w chwili rozpoczęcia leczenia spełniali kryteria kwalifikacji do programu lekowego.</w:t>
            </w:r>
          </w:p>
          <w:p w14:paraId="0193F428" w14:textId="77777777" w:rsidR="00565830" w:rsidRPr="009E0352" w:rsidRDefault="00565830" w:rsidP="009E0352">
            <w:pPr>
              <w:spacing w:after="60" w:line="276" w:lineRule="auto"/>
              <w:rPr>
                <w:sz w:val="20"/>
                <w:szCs w:val="20"/>
              </w:rPr>
            </w:pPr>
          </w:p>
          <w:p w14:paraId="240A520A" w14:textId="77777777" w:rsidR="00F019EA" w:rsidRPr="009E0352" w:rsidRDefault="00F019EA" w:rsidP="009E035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3AFA1A40" w14:textId="77777777" w:rsidR="00F019EA" w:rsidRPr="009E0352" w:rsidRDefault="00F019EA" w:rsidP="009E03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Leczenie trwa do czasu podjęcia przez lekarza prowadzącego </w:t>
            </w:r>
            <w:r w:rsidRPr="009E0352">
              <w:rPr>
                <w:color w:val="000000" w:themeColor="text1"/>
                <w:sz w:val="20"/>
                <w:szCs w:val="20"/>
              </w:rPr>
              <w:t xml:space="preserve">decyzji o wyłączeniu świadczeniobiorcy </w:t>
            </w:r>
            <w:r w:rsidRPr="009E0352">
              <w:rPr>
                <w:sz w:val="20"/>
                <w:szCs w:val="20"/>
              </w:rPr>
              <w:t xml:space="preserve">z programu, zgodnie z zasadami stosowania leków oraz kryteriami wyłączenia z programu, o których mowa w pkt 3. Decyzja o wyłączeniu pacjenta wraz z podaniem </w:t>
            </w:r>
            <w:r w:rsidRPr="009E0352">
              <w:rPr>
                <w:rFonts w:eastAsia="Batang"/>
                <w:sz w:val="20"/>
                <w:szCs w:val="20"/>
                <w:lang w:eastAsia="ko-KR"/>
              </w:rPr>
              <w:t>przyczyny</w:t>
            </w:r>
            <w:r w:rsidRPr="009E0352">
              <w:rPr>
                <w:sz w:val="20"/>
                <w:szCs w:val="20"/>
              </w:rPr>
              <w:t xml:space="preserve"> wyłączenia jest odnotowywana w SMPT.</w:t>
            </w:r>
          </w:p>
          <w:p w14:paraId="27CDE108" w14:textId="77777777" w:rsidR="00E703FE" w:rsidRPr="009E0352" w:rsidRDefault="00E703FE" w:rsidP="009E03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03EAE8C" w14:textId="77777777" w:rsidR="00F019EA" w:rsidRPr="009E0352" w:rsidRDefault="00F019EA" w:rsidP="009E035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Kryteria wyłączenia</w:t>
            </w:r>
          </w:p>
          <w:p w14:paraId="1FBB0502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wystąpienie progresji potwierdzonej w badaniu obrazowym ocenionej według aktualnie obowiązujących kryteriów RECIST uwzględniając, iż:</w:t>
            </w:r>
          </w:p>
          <w:p w14:paraId="64BBD087" w14:textId="77777777" w:rsidR="00F019EA" w:rsidRPr="009E0352" w:rsidRDefault="00F019EA" w:rsidP="009E035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 przypadku progresji wcześniej obecnych zmian lub pojawienia się w trakcie leczenia jednej do trzech – nowych – zmian poza ośrodkowym układem nerwowym (OUN) u chorych leczonych systemowo inhibitorami ROS1 dopuszcza się kontynuowanie leczenia po zastosowaniu miejscowego leczenia ablacyjnego (warunek konieczny – możliwość przeprowadzenia leczenia z wykorzystaniem stereotaktycznej radioterapii wysokodawkowej lub resekcji)</w:t>
            </w:r>
            <w:r w:rsidR="008113FA" w:rsidRPr="009E0352">
              <w:rPr>
                <w:sz w:val="20"/>
                <w:szCs w:val="20"/>
              </w:rPr>
              <w:t>,</w:t>
            </w:r>
          </w:p>
          <w:p w14:paraId="143BAABB" w14:textId="77777777" w:rsidR="00F019EA" w:rsidRPr="009E0352" w:rsidRDefault="00F019EA" w:rsidP="009E035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 przypadku progresji wcześniej istniejących lub pojawienia się w trakcie leczenia nowych zmian w obrębie OUN u chorych leczonych systemowo inhibitorami ROS1</w:t>
            </w:r>
            <w:r w:rsidR="008113FA" w:rsidRPr="009E0352">
              <w:rPr>
                <w:sz w:val="20"/>
                <w:szCs w:val="20"/>
              </w:rPr>
              <w:t xml:space="preserve"> </w:t>
            </w:r>
            <w:r w:rsidRPr="009E0352">
              <w:rPr>
                <w:sz w:val="20"/>
                <w:szCs w:val="20"/>
              </w:rPr>
              <w:t xml:space="preserve">dopuszcza się kontynuowanie leczenia po zastosowaniu leczenia miejscowego </w:t>
            </w:r>
            <w:r w:rsidRPr="009E0352">
              <w:rPr>
                <w:sz w:val="20"/>
                <w:szCs w:val="20"/>
              </w:rPr>
              <w:lastRenderedPageBreak/>
              <w:t>(radioterapia całego mózgowia, stereotaktyczna radioterapia wysokodawkowa lub resekcja)</w:t>
            </w:r>
            <w:r w:rsidR="008113FA" w:rsidRPr="009E0352">
              <w:rPr>
                <w:sz w:val="20"/>
                <w:szCs w:val="20"/>
              </w:rPr>
              <w:t>;</w:t>
            </w:r>
          </w:p>
          <w:p w14:paraId="501179AF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wystąpienie poważnych działań niepożądanych uniemożliwiających kontynuację leczenia;</w:t>
            </w:r>
          </w:p>
          <w:p w14:paraId="49761FCA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obniżenie stanu sprawności do stopnia 3-4 według kryteriów WHO lub ECOG;</w:t>
            </w:r>
          </w:p>
          <w:p w14:paraId="53AE73D4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wystąpienie istotnej klinicznie nadwrażliwości na lek lub na substancję pomocniczą;</w:t>
            </w:r>
          </w:p>
          <w:p w14:paraId="669E77FC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pogorszenie (istotne klinicznie) stanu chorego bez progresji;</w:t>
            </w:r>
          </w:p>
          <w:p w14:paraId="686DF4EE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wystąpienie toksyczności leczenia wymagającej zakończenia leczenia zgodnie z aktualną </w:t>
            </w:r>
            <w:proofErr w:type="spellStart"/>
            <w:r w:rsidRPr="009E0352">
              <w:rPr>
                <w:sz w:val="20"/>
                <w:szCs w:val="20"/>
              </w:rPr>
              <w:t>ChPL</w:t>
            </w:r>
            <w:proofErr w:type="spellEnd"/>
            <w:r w:rsidRPr="009E0352">
              <w:rPr>
                <w:sz w:val="20"/>
                <w:szCs w:val="20"/>
              </w:rPr>
              <w:t xml:space="preserve"> lub podjęcie przez lekarza decyzji o zaprzestaniu podawania;</w:t>
            </w:r>
          </w:p>
          <w:p w14:paraId="5D5A4E5D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przerwanie stosowania leków:</w:t>
            </w:r>
          </w:p>
          <w:p w14:paraId="6C7D21F2" w14:textId="77777777" w:rsidR="00F019EA" w:rsidRPr="009E0352" w:rsidRDefault="00F019EA" w:rsidP="009E0352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- na dłużej niż 12 tyg. – dotyczy inhibito</w:t>
            </w:r>
            <w:r w:rsidR="008113FA" w:rsidRPr="009E0352">
              <w:rPr>
                <w:sz w:val="20"/>
                <w:szCs w:val="20"/>
              </w:rPr>
              <w:t xml:space="preserve">ra </w:t>
            </w:r>
            <w:r w:rsidRPr="009E0352">
              <w:rPr>
                <w:sz w:val="20"/>
                <w:szCs w:val="20"/>
              </w:rPr>
              <w:t>ROS1;</w:t>
            </w:r>
          </w:p>
          <w:p w14:paraId="178C2ACA" w14:textId="77777777" w:rsidR="00F019EA" w:rsidRPr="009E0352" w:rsidRDefault="00F019EA" w:rsidP="009E0352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wycofanie zgody na udział w programie (rezygnacja chorego).</w:t>
            </w:r>
          </w:p>
          <w:p w14:paraId="7752542E" w14:textId="77777777" w:rsidR="00F019EA" w:rsidRPr="009E0352" w:rsidRDefault="00F019EA" w:rsidP="009E0352">
            <w:pPr>
              <w:spacing w:after="60" w:line="276" w:lineRule="auto"/>
              <w:rPr>
                <w:sz w:val="20"/>
                <w:szCs w:val="20"/>
              </w:rPr>
            </w:pPr>
          </w:p>
        </w:tc>
        <w:tc>
          <w:tcPr>
            <w:tcW w:w="1551" w:type="pct"/>
          </w:tcPr>
          <w:p w14:paraId="2C746FE2" w14:textId="77777777" w:rsidR="008113FA" w:rsidRPr="009E0352" w:rsidRDefault="0081576F" w:rsidP="009E0352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lastRenderedPageBreak/>
              <w:t>Maksymalna</w:t>
            </w:r>
            <w:r w:rsidR="008113FA" w:rsidRPr="009E0352">
              <w:rPr>
                <w:sz w:val="20"/>
                <w:szCs w:val="20"/>
              </w:rPr>
              <w:t xml:space="preserve"> dawka u dorosłych wynosi 160 mg </w:t>
            </w:r>
            <w:proofErr w:type="spellStart"/>
            <w:r w:rsidR="008113FA" w:rsidRPr="009E0352">
              <w:rPr>
                <w:sz w:val="20"/>
                <w:szCs w:val="20"/>
              </w:rPr>
              <w:t>repotrektynibu</w:t>
            </w:r>
            <w:proofErr w:type="spellEnd"/>
            <w:r w:rsidR="008113FA" w:rsidRPr="009E0352">
              <w:rPr>
                <w:sz w:val="20"/>
                <w:szCs w:val="20"/>
              </w:rPr>
              <w:t xml:space="preserve"> raz na dobę przez 14 dni, a następnie 160 mg </w:t>
            </w:r>
            <w:proofErr w:type="spellStart"/>
            <w:r w:rsidR="008113FA" w:rsidRPr="009E0352">
              <w:rPr>
                <w:sz w:val="20"/>
                <w:szCs w:val="20"/>
              </w:rPr>
              <w:t>repotrektynibu</w:t>
            </w:r>
            <w:proofErr w:type="spellEnd"/>
            <w:r w:rsidR="008113FA" w:rsidRPr="009E0352">
              <w:rPr>
                <w:sz w:val="20"/>
                <w:szCs w:val="20"/>
              </w:rPr>
              <w:t xml:space="preserve"> dwa razy na dobę do czasu progresji choroby lub wystąpienia nieakceptowalnej toksyczności.</w:t>
            </w:r>
          </w:p>
          <w:p w14:paraId="09F4FEA8" w14:textId="77777777" w:rsidR="00196B54" w:rsidRPr="009E0352" w:rsidRDefault="008113FA" w:rsidP="009E03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Szczegółowe informacje dotyczące dawkowania oraz warunków stosowania leku znajdują się w aktualnej</w:t>
            </w:r>
            <w:r w:rsidR="0081576F" w:rsidRPr="009E0352">
              <w:rPr>
                <w:sz w:val="20"/>
                <w:szCs w:val="20"/>
              </w:rPr>
              <w:t xml:space="preserve"> na dzień wydania decyzji</w:t>
            </w:r>
            <w:r w:rsidRPr="009E0352">
              <w:rPr>
                <w:sz w:val="20"/>
                <w:szCs w:val="20"/>
              </w:rPr>
              <w:t xml:space="preserve"> Charakterystyce Produktu Leczniczego (</w:t>
            </w:r>
            <w:proofErr w:type="spellStart"/>
            <w:r w:rsidRPr="009E0352">
              <w:rPr>
                <w:sz w:val="20"/>
                <w:szCs w:val="20"/>
              </w:rPr>
              <w:t>ChPL</w:t>
            </w:r>
            <w:proofErr w:type="spellEnd"/>
            <w:r w:rsidRPr="009E0352">
              <w:rPr>
                <w:sz w:val="20"/>
                <w:szCs w:val="20"/>
              </w:rPr>
              <w:t>).</w:t>
            </w:r>
          </w:p>
        </w:tc>
        <w:tc>
          <w:tcPr>
            <w:tcW w:w="1739" w:type="pct"/>
          </w:tcPr>
          <w:p w14:paraId="16DA266F" w14:textId="77777777" w:rsidR="00BE35B4" w:rsidRPr="009E0352" w:rsidRDefault="00BE35B4" w:rsidP="009E0352">
            <w:pPr>
              <w:pStyle w:val="Akapitzlist"/>
              <w:numPr>
                <w:ilvl w:val="0"/>
                <w:numId w:val="17"/>
              </w:numPr>
              <w:spacing w:before="60"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Badania wymagane przy kwalifikacji do programu</w:t>
            </w:r>
          </w:p>
          <w:p w14:paraId="4A013B07" w14:textId="77777777" w:rsidR="00BE35B4" w:rsidRPr="009E0352" w:rsidRDefault="00BE35B4" w:rsidP="009E0352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histologiczne lub cytologiczne potwierdzenie określonego typu niedrobnokomórkowego raka płuca zgodnie z kryteriami kwalifikacji chorych:</w:t>
            </w:r>
          </w:p>
          <w:p w14:paraId="2C42590E" w14:textId="77777777" w:rsidR="00BE35B4" w:rsidRPr="009E0352" w:rsidRDefault="00BE35B4" w:rsidP="009E0352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potwierdzenie stanu lub obecności odpowiednich wariantów patogennych genu </w:t>
            </w:r>
            <w:r w:rsidRPr="009E0352">
              <w:rPr>
                <w:i/>
                <w:sz w:val="20"/>
                <w:szCs w:val="20"/>
              </w:rPr>
              <w:t xml:space="preserve">ROS1 </w:t>
            </w:r>
            <w:r w:rsidRPr="009E0352">
              <w:rPr>
                <w:sz w:val="20"/>
                <w:szCs w:val="20"/>
              </w:rPr>
              <w:t xml:space="preserve">zgodnie z kryteriami kwalifikacji chorych - potwierdzone z wykorzystaniem </w:t>
            </w:r>
            <w:proofErr w:type="spellStart"/>
            <w:r w:rsidRPr="009E0352">
              <w:rPr>
                <w:sz w:val="20"/>
                <w:szCs w:val="20"/>
              </w:rPr>
              <w:t>zwalidowanego</w:t>
            </w:r>
            <w:proofErr w:type="spellEnd"/>
            <w:r w:rsidRPr="009E0352">
              <w:rPr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085F3BF1" w14:textId="77777777" w:rsidR="00BE35B4" w:rsidRPr="009E0352" w:rsidRDefault="00BE35B4" w:rsidP="009E0352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badania obrazowe przed rozpoczęciem leczenia:</w:t>
            </w:r>
          </w:p>
          <w:p w14:paraId="488B3576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tomografia komputerowa klatki piersiowej z objęciem nadbrzusza do 30 dni przed rozpoczęciem leczenia;</w:t>
            </w:r>
          </w:p>
          <w:p w14:paraId="1F8ED074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tomografia komputerowa innych narządów podlegających ocenie RECIST do 30 dni przed rozpoczęciem leczenia </w:t>
            </w:r>
          </w:p>
          <w:p w14:paraId="44DFAAC9" w14:textId="77777777" w:rsidR="00BE35B4" w:rsidRPr="009E0352" w:rsidRDefault="00BE35B4" w:rsidP="009E0352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badanie elektrokardiograficzne do 30 dni przed rozpoczęciem leczenia;</w:t>
            </w:r>
          </w:p>
          <w:p w14:paraId="53A7C725" w14:textId="77777777" w:rsidR="00BE35B4" w:rsidRPr="009E0352" w:rsidRDefault="00BE35B4" w:rsidP="009E0352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badania laboratoryjne do 7 dni przed rozpoczęciem leczeni:</w:t>
            </w:r>
          </w:p>
          <w:p w14:paraId="668FC662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morfologia krwi z rozmazem;</w:t>
            </w:r>
          </w:p>
          <w:p w14:paraId="34BA85AE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oznaczenia stężenia kreatyniny;</w:t>
            </w:r>
          </w:p>
          <w:p w14:paraId="72A72326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oznaczenie stężenia bilirubiny;</w:t>
            </w:r>
          </w:p>
          <w:p w14:paraId="10FC58D3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oznaczenie aktywności aminotransferazy alaninowej;</w:t>
            </w:r>
          </w:p>
          <w:p w14:paraId="3BE85F69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lastRenderedPageBreak/>
              <w:t xml:space="preserve">oznaczenie aktywności aminotransferazy </w:t>
            </w:r>
            <w:proofErr w:type="spellStart"/>
            <w:r w:rsidRPr="009E0352">
              <w:rPr>
                <w:sz w:val="20"/>
                <w:szCs w:val="20"/>
              </w:rPr>
              <w:t>asparaginianowej</w:t>
            </w:r>
            <w:proofErr w:type="spellEnd"/>
            <w:r w:rsidRPr="009E0352">
              <w:rPr>
                <w:sz w:val="20"/>
                <w:szCs w:val="20"/>
              </w:rPr>
              <w:t>;</w:t>
            </w:r>
          </w:p>
          <w:p w14:paraId="5CA100EE" w14:textId="77777777" w:rsidR="00BE35B4" w:rsidRPr="009E0352" w:rsidRDefault="00BE35B4" w:rsidP="009E0352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oznaczenie aktywności fosfatazy zasadowej;</w:t>
            </w:r>
          </w:p>
          <w:p w14:paraId="27AD96BC" w14:textId="77777777" w:rsidR="00BE35B4" w:rsidRPr="009E0352" w:rsidRDefault="00BE35B4" w:rsidP="009E0352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inne badania obrazowe w zależności od sytuacji klinicznej.</w:t>
            </w:r>
          </w:p>
          <w:p w14:paraId="497C6FD5" w14:textId="77777777" w:rsidR="00BE35B4" w:rsidRPr="009E0352" w:rsidRDefault="00BE35B4" w:rsidP="009E0352">
            <w:pPr>
              <w:pStyle w:val="Akapitzlist"/>
              <w:numPr>
                <w:ilvl w:val="0"/>
                <w:numId w:val="17"/>
              </w:numPr>
              <w:spacing w:after="60" w:line="276" w:lineRule="auto"/>
              <w:ind w:left="357" w:hanging="357"/>
              <w:contextualSpacing w:val="0"/>
              <w:rPr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Badania wymagane do monitorowania terapii</w:t>
            </w:r>
          </w:p>
          <w:p w14:paraId="45DB076F" w14:textId="77777777" w:rsidR="00BE35B4" w:rsidRPr="009E0352" w:rsidRDefault="00BE35B4" w:rsidP="009E0352">
            <w:pPr>
              <w:pStyle w:val="Akapitzlist"/>
              <w:numPr>
                <w:ilvl w:val="0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badania obrazowe:</w:t>
            </w:r>
          </w:p>
          <w:p w14:paraId="7EB90AFB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tomografia komputerowa klatki piersiowej z objęciem nadbrzusza - co 3 miesiące przez pierwszy rok leczenia, a następnie co 6 miesięcy;</w:t>
            </w:r>
          </w:p>
          <w:p w14:paraId="1BE74156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tomografia komputerowa innych narządów podlegających ocenie RECIST - co 3 miesiące przez pierwszy rok leczenia, a następnie co 6 miesięcy;</w:t>
            </w:r>
          </w:p>
          <w:p w14:paraId="11C2475A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badanie tomografii komputerowej lub magnetycznego rezonansu ośrodkowego układu nerwowego - co 6 miesięcy;</w:t>
            </w:r>
          </w:p>
          <w:p w14:paraId="653809A1" w14:textId="77777777" w:rsidR="00BE35B4" w:rsidRPr="009E0352" w:rsidRDefault="00BE35B4" w:rsidP="009E0352">
            <w:pPr>
              <w:pStyle w:val="Akapitzlist"/>
              <w:numPr>
                <w:ilvl w:val="0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badanie elektrokardiograficzne - co 3 miesiące leczenia przez pierwszy rok leczenia, następnie co 6 miesięcy;</w:t>
            </w:r>
          </w:p>
          <w:p w14:paraId="31D65FB3" w14:textId="77777777" w:rsidR="00BE35B4" w:rsidRPr="009E0352" w:rsidRDefault="00BE35B4" w:rsidP="009E0352">
            <w:pPr>
              <w:pStyle w:val="Akapitzlist"/>
              <w:numPr>
                <w:ilvl w:val="0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badania laboratoryjne - co 1 miesiąc przez pierwsze 3 miesiące leczenia, następnie co 3 miesiące leczenia:</w:t>
            </w:r>
          </w:p>
          <w:p w14:paraId="08221353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morfologia krwi z rozmazem;</w:t>
            </w:r>
          </w:p>
          <w:p w14:paraId="1E4BFA99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oznaczenia stężenia kreatyniny;</w:t>
            </w:r>
          </w:p>
          <w:p w14:paraId="63D96FD6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oznaczenie stężenia bilirubiny;</w:t>
            </w:r>
          </w:p>
          <w:p w14:paraId="27A43DAF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oznaczenie aktywności aminotransferazy alaninowej;</w:t>
            </w:r>
          </w:p>
          <w:p w14:paraId="62DF2D5A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 xml:space="preserve">oznaczenie aktywności aminotransferazy </w:t>
            </w:r>
            <w:proofErr w:type="spellStart"/>
            <w:r w:rsidRPr="009E0352">
              <w:rPr>
                <w:sz w:val="20"/>
                <w:szCs w:val="20"/>
              </w:rPr>
              <w:t>asparaginianowej</w:t>
            </w:r>
            <w:proofErr w:type="spellEnd"/>
            <w:r w:rsidRPr="009E0352">
              <w:rPr>
                <w:sz w:val="20"/>
                <w:szCs w:val="20"/>
              </w:rPr>
              <w:t>;</w:t>
            </w:r>
          </w:p>
          <w:p w14:paraId="26DBBA2D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oznaczenie aktywności fosfatazy zasadowej;</w:t>
            </w:r>
          </w:p>
          <w:p w14:paraId="56821A13" w14:textId="77777777" w:rsidR="00BE35B4" w:rsidRPr="009E0352" w:rsidRDefault="00BE35B4" w:rsidP="009E0352">
            <w:pPr>
              <w:pStyle w:val="Akapitzlist"/>
              <w:numPr>
                <w:ilvl w:val="4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oznaczenie T3, T4 i TSH;</w:t>
            </w:r>
          </w:p>
          <w:p w14:paraId="582F40EA" w14:textId="77777777" w:rsidR="00690FA9" w:rsidRPr="009E0352" w:rsidRDefault="00BE35B4" w:rsidP="009E0352">
            <w:pPr>
              <w:pStyle w:val="Akapitzlist"/>
              <w:numPr>
                <w:ilvl w:val="0"/>
                <w:numId w:val="18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inne badania obrazowe i laboratoryjne w zależności od sytuacji klinicznej.</w:t>
            </w:r>
          </w:p>
          <w:p w14:paraId="27DA2E12" w14:textId="77777777" w:rsidR="00BE35B4" w:rsidRPr="009E0352" w:rsidRDefault="00BE35B4" w:rsidP="009E0352">
            <w:pPr>
              <w:pStyle w:val="Akapitzlist"/>
              <w:spacing w:after="60" w:line="276" w:lineRule="auto"/>
              <w:ind w:left="227"/>
              <w:contextualSpacing w:val="0"/>
              <w:rPr>
                <w:sz w:val="20"/>
                <w:szCs w:val="20"/>
              </w:rPr>
            </w:pPr>
          </w:p>
          <w:p w14:paraId="782632F1" w14:textId="77777777" w:rsidR="00BE35B4" w:rsidRPr="009E0352" w:rsidRDefault="00BE35B4" w:rsidP="009E0352">
            <w:pPr>
              <w:pStyle w:val="Akapitzlist"/>
              <w:numPr>
                <w:ilvl w:val="0"/>
                <w:numId w:val="17"/>
              </w:numPr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9E0352">
              <w:rPr>
                <w:b/>
                <w:bCs/>
                <w:sz w:val="20"/>
                <w:szCs w:val="20"/>
              </w:rPr>
              <w:t>Monitorowanie programu</w:t>
            </w:r>
          </w:p>
          <w:p w14:paraId="6C7D2F8D" w14:textId="77777777" w:rsidR="00BE35B4" w:rsidRPr="009E0352" w:rsidRDefault="00BE35B4" w:rsidP="009E0352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gromadzenie w dokumentacji medycznej danych dotyczących monitorowania leczenia i każdorazowe ich przedstawianie na żądanie kontrolerów Narodowego Funduszu Zdrowia;</w:t>
            </w:r>
          </w:p>
          <w:p w14:paraId="1996128F" w14:textId="77777777" w:rsidR="00BE35B4" w:rsidRPr="009E0352" w:rsidRDefault="00BE35B4" w:rsidP="009E0352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uzupełnianie danych zawartych w elektronicznym systemie monitorowania programów lekowych, w tym również parametrów dotyczących skuteczności leczenia (całkowita (CR) lub częściowa odpowiedz (PR), stabilizacja (SD) lub progresja choroby (PD) oraz czas do progresji (PFS) i całkowite przeżycie (OS)), dostępnym za pomocą aplikacji internetowej udostępnionej przez OW NFZ, z częstotliwością zgodną z opisem programu oraz na zakończenie leczenia;</w:t>
            </w:r>
          </w:p>
          <w:p w14:paraId="2D52C5CD" w14:textId="77777777" w:rsidR="00BE35B4" w:rsidRPr="009E0352" w:rsidRDefault="00BE35B4" w:rsidP="009E0352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9E0352">
              <w:rPr>
                <w:sz w:val="20"/>
                <w:szCs w:val="20"/>
              </w:rPr>
              <w:t>przekazywanie informacji sprawozdawczo-rozliczeniowych do NFZ (informacje przekazuje się do NFZ w formie papierowej lub w formie elektronicznej) zgodnie z wymaganiami opublikowanymi przez NFZ.</w:t>
            </w:r>
          </w:p>
        </w:tc>
      </w:tr>
    </w:tbl>
    <w:p w14:paraId="1C7137F9" w14:textId="77777777" w:rsidR="001349B5" w:rsidRPr="00E43594" w:rsidRDefault="001349B5" w:rsidP="00486F50">
      <w:pPr>
        <w:rPr>
          <w:color w:val="FF0000"/>
        </w:rPr>
      </w:pPr>
    </w:p>
    <w:sectPr w:rsidR="001349B5" w:rsidRPr="00E43594" w:rsidSect="00471B0F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3978" w14:textId="77777777" w:rsidR="00556EE9" w:rsidRDefault="00556EE9" w:rsidP="00BF49D7">
      <w:r>
        <w:separator/>
      </w:r>
    </w:p>
  </w:endnote>
  <w:endnote w:type="continuationSeparator" w:id="0">
    <w:p w14:paraId="740955BC" w14:textId="77777777" w:rsidR="00556EE9" w:rsidRDefault="00556EE9" w:rsidP="00B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8FADD" w14:textId="77777777" w:rsidR="00556EE9" w:rsidRDefault="00556EE9" w:rsidP="00BF49D7">
      <w:r>
        <w:separator/>
      </w:r>
    </w:p>
  </w:footnote>
  <w:footnote w:type="continuationSeparator" w:id="0">
    <w:p w14:paraId="2AA1755B" w14:textId="77777777" w:rsidR="00556EE9" w:rsidRDefault="00556EE9" w:rsidP="00B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B573A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7DA5B26"/>
    <w:multiLevelType w:val="multilevel"/>
    <w:tmpl w:val="8FDA4BF0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1562142E"/>
    <w:multiLevelType w:val="hybridMultilevel"/>
    <w:tmpl w:val="A3127924"/>
    <w:lvl w:ilvl="0" w:tplc="04150017">
      <w:start w:val="1"/>
      <w:numFmt w:val="lowerLetter"/>
      <w:lvlText w:val="%1)"/>
      <w:lvlJc w:val="left"/>
      <w:pPr>
        <w:ind w:left="814" w:hanging="360"/>
      </w:p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1AB1381B"/>
    <w:multiLevelType w:val="multilevel"/>
    <w:tmpl w:val="8FDA4BF0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2AD57826"/>
    <w:multiLevelType w:val="hybridMultilevel"/>
    <w:tmpl w:val="1D7EB1B2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2D112660"/>
    <w:multiLevelType w:val="multilevel"/>
    <w:tmpl w:val="8FDA4BF0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34A263C2"/>
    <w:multiLevelType w:val="hybridMultilevel"/>
    <w:tmpl w:val="FCDADC16"/>
    <w:lvl w:ilvl="0" w:tplc="3626D9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5D90CEF"/>
    <w:multiLevelType w:val="hybridMultilevel"/>
    <w:tmpl w:val="23D880B2"/>
    <w:lvl w:ilvl="0" w:tplc="B72EE7F2">
      <w:start w:val="1"/>
      <w:numFmt w:val="decimal"/>
      <w:lvlText w:val="%1)"/>
      <w:lvlJc w:val="left"/>
      <w:pPr>
        <w:ind w:left="12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6" w:hanging="360"/>
      </w:pPr>
    </w:lvl>
    <w:lvl w:ilvl="2" w:tplc="0415001B">
      <w:start w:val="1"/>
      <w:numFmt w:val="lowerRoman"/>
      <w:lvlText w:val="%3."/>
      <w:lvlJc w:val="right"/>
      <w:pPr>
        <w:ind w:left="2656" w:hanging="180"/>
      </w:pPr>
    </w:lvl>
    <w:lvl w:ilvl="3" w:tplc="0415000F">
      <w:start w:val="1"/>
      <w:numFmt w:val="decimal"/>
      <w:lvlText w:val="%4."/>
      <w:lvlJc w:val="left"/>
      <w:pPr>
        <w:ind w:left="3376" w:hanging="360"/>
      </w:pPr>
    </w:lvl>
    <w:lvl w:ilvl="4" w:tplc="04150019">
      <w:start w:val="1"/>
      <w:numFmt w:val="lowerLetter"/>
      <w:lvlText w:val="%5."/>
      <w:lvlJc w:val="left"/>
      <w:pPr>
        <w:ind w:left="4096" w:hanging="360"/>
      </w:pPr>
    </w:lvl>
    <w:lvl w:ilvl="5" w:tplc="0415001B">
      <w:start w:val="1"/>
      <w:numFmt w:val="lowerRoman"/>
      <w:lvlText w:val="%6."/>
      <w:lvlJc w:val="right"/>
      <w:pPr>
        <w:ind w:left="4816" w:hanging="180"/>
      </w:pPr>
    </w:lvl>
    <w:lvl w:ilvl="6" w:tplc="0415000F">
      <w:start w:val="1"/>
      <w:numFmt w:val="decimal"/>
      <w:lvlText w:val="%7."/>
      <w:lvlJc w:val="left"/>
      <w:pPr>
        <w:ind w:left="5536" w:hanging="360"/>
      </w:pPr>
    </w:lvl>
    <w:lvl w:ilvl="7" w:tplc="04150019">
      <w:start w:val="1"/>
      <w:numFmt w:val="lowerLetter"/>
      <w:lvlText w:val="%8."/>
      <w:lvlJc w:val="left"/>
      <w:pPr>
        <w:ind w:left="6256" w:hanging="360"/>
      </w:pPr>
    </w:lvl>
    <w:lvl w:ilvl="8" w:tplc="0415001B">
      <w:start w:val="1"/>
      <w:numFmt w:val="lowerRoman"/>
      <w:lvlText w:val="%9."/>
      <w:lvlJc w:val="right"/>
      <w:pPr>
        <w:ind w:left="6976" w:hanging="180"/>
      </w:pPr>
    </w:lvl>
  </w:abstractNum>
  <w:abstractNum w:abstractNumId="8" w15:restartNumberingAfterBreak="0">
    <w:nsid w:val="38D50348"/>
    <w:multiLevelType w:val="hybridMultilevel"/>
    <w:tmpl w:val="82C8A858"/>
    <w:lvl w:ilvl="0" w:tplc="ED1028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740B10"/>
    <w:multiLevelType w:val="hybridMultilevel"/>
    <w:tmpl w:val="FBDCD33E"/>
    <w:lvl w:ilvl="0" w:tplc="6366A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70360"/>
    <w:multiLevelType w:val="multilevel"/>
    <w:tmpl w:val="599404C4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4F035F97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4FCA3C70"/>
    <w:multiLevelType w:val="hybridMultilevel"/>
    <w:tmpl w:val="93AEE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634FC3"/>
    <w:multiLevelType w:val="hybridMultilevel"/>
    <w:tmpl w:val="6AFA52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207B79"/>
    <w:multiLevelType w:val="hybridMultilevel"/>
    <w:tmpl w:val="4AFC3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B5F1E0B"/>
    <w:multiLevelType w:val="hybridMultilevel"/>
    <w:tmpl w:val="065EA2FA"/>
    <w:lvl w:ilvl="0" w:tplc="CA6622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47B0C72"/>
    <w:multiLevelType w:val="hybridMultilevel"/>
    <w:tmpl w:val="79B463E2"/>
    <w:lvl w:ilvl="0" w:tplc="54BE7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E120639"/>
    <w:multiLevelType w:val="hybridMultilevel"/>
    <w:tmpl w:val="D4821A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2F35E6"/>
    <w:multiLevelType w:val="hybridMultilevel"/>
    <w:tmpl w:val="129C6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696678"/>
    <w:multiLevelType w:val="multilevel"/>
    <w:tmpl w:val="315CE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71028594">
    <w:abstractNumId w:val="7"/>
  </w:num>
  <w:num w:numId="2" w16cid:durableId="1774788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33651">
    <w:abstractNumId w:val="13"/>
  </w:num>
  <w:num w:numId="4" w16cid:durableId="1020398229">
    <w:abstractNumId w:val="6"/>
  </w:num>
  <w:num w:numId="5" w16cid:durableId="2041472813">
    <w:abstractNumId w:val="14"/>
  </w:num>
  <w:num w:numId="6" w16cid:durableId="791172537">
    <w:abstractNumId w:val="16"/>
  </w:num>
  <w:num w:numId="7" w16cid:durableId="1623461091">
    <w:abstractNumId w:val="0"/>
  </w:num>
  <w:num w:numId="8" w16cid:durableId="2135442625">
    <w:abstractNumId w:val="9"/>
  </w:num>
  <w:num w:numId="9" w16cid:durableId="2045017151">
    <w:abstractNumId w:val="15"/>
  </w:num>
  <w:num w:numId="10" w16cid:durableId="793444836">
    <w:abstractNumId w:val="11"/>
  </w:num>
  <w:num w:numId="11" w16cid:durableId="1183857214">
    <w:abstractNumId w:val="4"/>
  </w:num>
  <w:num w:numId="12" w16cid:durableId="1190996189">
    <w:abstractNumId w:val="12"/>
  </w:num>
  <w:num w:numId="13" w16cid:durableId="1191261428">
    <w:abstractNumId w:val="18"/>
  </w:num>
  <w:num w:numId="14" w16cid:durableId="585312009">
    <w:abstractNumId w:val="10"/>
  </w:num>
  <w:num w:numId="15" w16cid:durableId="1440837343">
    <w:abstractNumId w:val="2"/>
  </w:num>
  <w:num w:numId="16" w16cid:durableId="1303080858">
    <w:abstractNumId w:val="1"/>
  </w:num>
  <w:num w:numId="17" w16cid:durableId="753598791">
    <w:abstractNumId w:val="19"/>
  </w:num>
  <w:num w:numId="18" w16cid:durableId="1080178875">
    <w:abstractNumId w:val="5"/>
  </w:num>
  <w:num w:numId="19" w16cid:durableId="1063720207">
    <w:abstractNumId w:val="17"/>
  </w:num>
  <w:num w:numId="20" w16cid:durableId="1932544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40B30"/>
    <w:rsid w:val="00066DBB"/>
    <w:rsid w:val="000814F5"/>
    <w:rsid w:val="00084FB8"/>
    <w:rsid w:val="000A79AC"/>
    <w:rsid w:val="000C36D5"/>
    <w:rsid w:val="000C4566"/>
    <w:rsid w:val="000C4794"/>
    <w:rsid w:val="00102E4E"/>
    <w:rsid w:val="00133821"/>
    <w:rsid w:val="001349B5"/>
    <w:rsid w:val="001361F1"/>
    <w:rsid w:val="00144C47"/>
    <w:rsid w:val="001824BF"/>
    <w:rsid w:val="0019143B"/>
    <w:rsid w:val="00196B54"/>
    <w:rsid w:val="001B67B4"/>
    <w:rsid w:val="001E3E14"/>
    <w:rsid w:val="001F2F10"/>
    <w:rsid w:val="00221D34"/>
    <w:rsid w:val="00255D00"/>
    <w:rsid w:val="00256AF8"/>
    <w:rsid w:val="00265363"/>
    <w:rsid w:val="0028213B"/>
    <w:rsid w:val="002B3B8C"/>
    <w:rsid w:val="002B44DE"/>
    <w:rsid w:val="00330EF9"/>
    <w:rsid w:val="00360FC2"/>
    <w:rsid w:val="003B7CF8"/>
    <w:rsid w:val="003D03C4"/>
    <w:rsid w:val="003F4A58"/>
    <w:rsid w:val="00403B6A"/>
    <w:rsid w:val="004311BB"/>
    <w:rsid w:val="00471B0F"/>
    <w:rsid w:val="00472B65"/>
    <w:rsid w:val="00486F50"/>
    <w:rsid w:val="00497A25"/>
    <w:rsid w:val="004A797A"/>
    <w:rsid w:val="004B0757"/>
    <w:rsid w:val="00512373"/>
    <w:rsid w:val="00523C92"/>
    <w:rsid w:val="00547315"/>
    <w:rsid w:val="00556EE9"/>
    <w:rsid w:val="00565830"/>
    <w:rsid w:val="00572174"/>
    <w:rsid w:val="00585067"/>
    <w:rsid w:val="005C2F52"/>
    <w:rsid w:val="00604B8D"/>
    <w:rsid w:val="00627BDE"/>
    <w:rsid w:val="00642045"/>
    <w:rsid w:val="00642C07"/>
    <w:rsid w:val="00660EF0"/>
    <w:rsid w:val="00661844"/>
    <w:rsid w:val="00690FA9"/>
    <w:rsid w:val="006B5357"/>
    <w:rsid w:val="006C765C"/>
    <w:rsid w:val="006E033F"/>
    <w:rsid w:val="006F5411"/>
    <w:rsid w:val="00700DAF"/>
    <w:rsid w:val="00717559"/>
    <w:rsid w:val="00732653"/>
    <w:rsid w:val="00743C43"/>
    <w:rsid w:val="00765122"/>
    <w:rsid w:val="00766318"/>
    <w:rsid w:val="00786E34"/>
    <w:rsid w:val="007B34F4"/>
    <w:rsid w:val="007D188D"/>
    <w:rsid w:val="007F66F8"/>
    <w:rsid w:val="008026DC"/>
    <w:rsid w:val="008113FA"/>
    <w:rsid w:val="008118B8"/>
    <w:rsid w:val="0081576F"/>
    <w:rsid w:val="00822DB0"/>
    <w:rsid w:val="00830520"/>
    <w:rsid w:val="0083097B"/>
    <w:rsid w:val="0083356C"/>
    <w:rsid w:val="008B39E7"/>
    <w:rsid w:val="008B6EA7"/>
    <w:rsid w:val="008F26E6"/>
    <w:rsid w:val="009116A6"/>
    <w:rsid w:val="00936C94"/>
    <w:rsid w:val="009530A8"/>
    <w:rsid w:val="00963F9B"/>
    <w:rsid w:val="00966F29"/>
    <w:rsid w:val="0097297F"/>
    <w:rsid w:val="009757D9"/>
    <w:rsid w:val="00977709"/>
    <w:rsid w:val="00981A37"/>
    <w:rsid w:val="009878D2"/>
    <w:rsid w:val="009A0663"/>
    <w:rsid w:val="009B4469"/>
    <w:rsid w:val="009B538D"/>
    <w:rsid w:val="009E0352"/>
    <w:rsid w:val="009F1E03"/>
    <w:rsid w:val="00A23F3F"/>
    <w:rsid w:val="00A30998"/>
    <w:rsid w:val="00A46B45"/>
    <w:rsid w:val="00A6241F"/>
    <w:rsid w:val="00A70DFE"/>
    <w:rsid w:val="00AC597A"/>
    <w:rsid w:val="00AF0963"/>
    <w:rsid w:val="00AF4EA2"/>
    <w:rsid w:val="00B065C7"/>
    <w:rsid w:val="00B11596"/>
    <w:rsid w:val="00B152A6"/>
    <w:rsid w:val="00B42D08"/>
    <w:rsid w:val="00B819C7"/>
    <w:rsid w:val="00B900A4"/>
    <w:rsid w:val="00B90EB7"/>
    <w:rsid w:val="00BB08D1"/>
    <w:rsid w:val="00BC6CF9"/>
    <w:rsid w:val="00BD51B5"/>
    <w:rsid w:val="00BE35B4"/>
    <w:rsid w:val="00BE6AF0"/>
    <w:rsid w:val="00BF49D7"/>
    <w:rsid w:val="00C07DA7"/>
    <w:rsid w:val="00C2457C"/>
    <w:rsid w:val="00C2602F"/>
    <w:rsid w:val="00C43C2B"/>
    <w:rsid w:val="00C60F36"/>
    <w:rsid w:val="00C71B35"/>
    <w:rsid w:val="00C82603"/>
    <w:rsid w:val="00CA491B"/>
    <w:rsid w:val="00CB3D45"/>
    <w:rsid w:val="00CB5855"/>
    <w:rsid w:val="00CF4389"/>
    <w:rsid w:val="00D0508E"/>
    <w:rsid w:val="00D1157B"/>
    <w:rsid w:val="00D24D72"/>
    <w:rsid w:val="00D7456B"/>
    <w:rsid w:val="00DA24DF"/>
    <w:rsid w:val="00DA6460"/>
    <w:rsid w:val="00DC4837"/>
    <w:rsid w:val="00DD03AB"/>
    <w:rsid w:val="00E23E9D"/>
    <w:rsid w:val="00E43594"/>
    <w:rsid w:val="00E703FE"/>
    <w:rsid w:val="00E7549C"/>
    <w:rsid w:val="00EB7CAB"/>
    <w:rsid w:val="00EE46A8"/>
    <w:rsid w:val="00F019EA"/>
    <w:rsid w:val="00F26C4A"/>
    <w:rsid w:val="00F67349"/>
    <w:rsid w:val="00F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BBE3A"/>
  <w15:docId w15:val="{9B028AAF-6F45-427C-AF2C-8E7117D7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3C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Styl moj,Dot pt,F5 List Paragraph,List Paragraph1,No Spacing1,List Paragraph Char Char Char,Indicator Text,Colorful List - Accent 11,Numbered Para 1,Bullet 1,Bullet Points,List Paragraph2,MAIN CONTENT,Normal numbered,列出段落,Akapit z listą11"/>
    <w:basedOn w:val="Normalny"/>
    <w:link w:val="AkapitzlistZnak"/>
    <w:uiPriority w:val="99"/>
    <w:qFormat/>
    <w:rsid w:val="0076631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6F54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54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541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F54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F5411"/>
    <w:rPr>
      <w:b/>
      <w:bCs/>
    </w:rPr>
  </w:style>
  <w:style w:type="character" w:customStyle="1" w:styleId="AkapitzlistZnak">
    <w:name w:val="Akapit z listą Znak"/>
    <w:aliases w:val="Styl moj Znak,Dot pt Znak,F5 List Paragraph Znak,List Paragraph1 Znak,No Spacing1 Znak,List Paragraph Char Char Char Znak,Indicator Text Znak,Colorful List - Accent 11 Znak,Numbered Para 1 Znak,Bullet 1 Znak,Bullet Points Znak"/>
    <w:link w:val="Akapitzlist"/>
    <w:uiPriority w:val="99"/>
    <w:qFormat/>
    <w:locked/>
    <w:rsid w:val="007326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12FB6-D4AD-4803-AD06-5CAACC59C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984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>Ministerstwo Zdrowia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Opis programu lekowego</dc:subject>
  <dc:creator>Ministerstwo Zdrowia</dc:creator>
  <cp:lastModifiedBy>Rudek Paulina</cp:lastModifiedBy>
  <cp:revision>3</cp:revision>
  <cp:lastPrinted>2014-05-08T07:00:00Z</cp:lastPrinted>
  <dcterms:created xsi:type="dcterms:W3CDTF">2026-05-15T09:16:00Z</dcterms:created>
  <dcterms:modified xsi:type="dcterms:W3CDTF">2026-06-10T06:50:00Z</dcterms:modified>
</cp:coreProperties>
</file>